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D8" w:rsidRDefault="00C563D8" w:rsidP="00C563D8">
      <w:pPr>
        <w:rPr>
          <w:b/>
          <w:bCs/>
          <w:sz w:val="28"/>
          <w:szCs w:val="28"/>
        </w:rPr>
      </w:pPr>
      <w:r>
        <w:rPr>
          <w:b/>
          <w:bCs/>
          <w:sz w:val="28"/>
          <w:szCs w:val="28"/>
        </w:rPr>
        <w:t xml:space="preserve">A message to MMG Century stakeholders </w:t>
      </w:r>
    </w:p>
    <w:p w:rsidR="00C563D8" w:rsidRDefault="00C563D8" w:rsidP="00C563D8">
      <w:pPr>
        <w:rPr>
          <w:b/>
          <w:bCs/>
        </w:rPr>
      </w:pPr>
    </w:p>
    <w:p w:rsidR="00C563D8" w:rsidRDefault="00C563D8" w:rsidP="00C563D8">
      <w:pPr>
        <w:rPr>
          <w:b/>
          <w:bCs/>
          <w:sz w:val="28"/>
          <w:szCs w:val="28"/>
        </w:rPr>
      </w:pPr>
      <w:r>
        <w:rPr>
          <w:b/>
          <w:bCs/>
          <w:sz w:val="28"/>
          <w:szCs w:val="28"/>
        </w:rPr>
        <w:t>Lawn Hill and Karumba move to Care and Maintenance</w:t>
      </w:r>
    </w:p>
    <w:p w:rsidR="00C563D8" w:rsidRDefault="00C563D8" w:rsidP="00C563D8">
      <w:pPr>
        <w:rPr>
          <w:sz w:val="28"/>
          <w:szCs w:val="28"/>
        </w:rPr>
      </w:pPr>
    </w:p>
    <w:p w:rsidR="00C563D8" w:rsidRDefault="00C563D8" w:rsidP="00C563D8">
      <w:r>
        <w:t xml:space="preserve">We would like to update you on the plans for MMG’s Century Mine at Lawn Hill and our Port dewatering and shipping facility at Karumba. </w:t>
      </w:r>
    </w:p>
    <w:p w:rsidR="00C563D8" w:rsidRDefault="00C563D8" w:rsidP="00C563D8"/>
    <w:p w:rsidR="00C563D8" w:rsidRDefault="00C563D8" w:rsidP="00C563D8">
      <w:pPr>
        <w:rPr>
          <w:b/>
          <w:bCs/>
        </w:rPr>
      </w:pPr>
    </w:p>
    <w:tbl>
      <w:tblPr>
        <w:tblW w:w="0" w:type="auto"/>
        <w:tblCellMar>
          <w:left w:w="0" w:type="dxa"/>
          <w:right w:w="0" w:type="dxa"/>
        </w:tblCellMar>
        <w:tblLook w:val="04A0" w:firstRow="1" w:lastRow="0" w:firstColumn="1" w:lastColumn="0" w:noHBand="0" w:noVBand="1"/>
      </w:tblPr>
      <w:tblGrid>
        <w:gridCol w:w="4500"/>
        <w:gridCol w:w="5946"/>
      </w:tblGrid>
      <w:tr w:rsidR="00C563D8" w:rsidTr="00C563D8">
        <w:tc>
          <w:tcPr>
            <w:tcW w:w="12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63D8" w:rsidRDefault="00C563D8">
            <w:pPr>
              <w:rPr>
                <w:b/>
                <w:bCs/>
                <w:sz w:val="28"/>
                <w:szCs w:val="28"/>
              </w:rPr>
            </w:pPr>
            <w:r>
              <w:rPr>
                <w:b/>
                <w:bCs/>
                <w:sz w:val="28"/>
                <w:szCs w:val="28"/>
              </w:rPr>
              <w:t>End of production and shipping:</w:t>
            </w:r>
          </w:p>
          <w:p w:rsidR="00C563D8" w:rsidRDefault="00C563D8">
            <w:pPr>
              <w:rPr>
                <w:b/>
                <w:bCs/>
              </w:rPr>
            </w:pPr>
          </w:p>
          <w:p w:rsidR="00C563D8" w:rsidRDefault="00C563D8">
            <w:r>
              <w:t>The end of production at Lawn Hill occurred in December 2015, with the final shipment of concentrate through the Port of Karumba occurring on 26 January 2016. Century Mine continued to perform strongly right up to the end of production.</w:t>
            </w:r>
          </w:p>
          <w:p w:rsidR="00C563D8" w:rsidRDefault="00C563D8"/>
          <w:p w:rsidR="00C563D8" w:rsidRDefault="00C563D8">
            <w:r>
              <w:t xml:space="preserve">Ore from MMG’s </w:t>
            </w:r>
            <w:proofErr w:type="spellStart"/>
            <w:r>
              <w:t>Dugald</w:t>
            </w:r>
            <w:proofErr w:type="spellEnd"/>
            <w:r>
              <w:t xml:space="preserve"> River project, which had been processed at Lawn Hill following the end of Century’s production, was also shipped through Karumba. MMG will not ship </w:t>
            </w:r>
            <w:proofErr w:type="spellStart"/>
            <w:r>
              <w:t>Dugald</w:t>
            </w:r>
            <w:proofErr w:type="spellEnd"/>
            <w:r>
              <w:t xml:space="preserve"> River’s ore through Karumba in the future. </w:t>
            </w:r>
          </w:p>
          <w:p w:rsidR="00C563D8" w:rsidRDefault="00C563D8"/>
          <w:p w:rsidR="00C563D8" w:rsidRDefault="00C563D8">
            <w:r>
              <w:t xml:space="preserve">Our trans-shipping vessel, the MV </w:t>
            </w:r>
            <w:proofErr w:type="spellStart"/>
            <w:r>
              <w:t>Wunma</w:t>
            </w:r>
            <w:proofErr w:type="spellEnd"/>
            <w:r>
              <w:t xml:space="preserve">, departed Karumba for the last time on 26 February to be docked in Papua New Guinea. These milestones mark the end of the Century production which started back in 1999. </w:t>
            </w:r>
          </w:p>
          <w:p w:rsidR="00C563D8" w:rsidRDefault="00C563D8"/>
          <w:p w:rsidR="00C563D8" w:rsidRDefault="00C563D8">
            <w:pPr>
              <w:rPr>
                <w:b/>
                <w:bCs/>
              </w:rPr>
            </w:pPr>
          </w:p>
        </w:tc>
        <w:tc>
          <w:tcPr>
            <w:tcW w:w="5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63D8" w:rsidRDefault="00C563D8">
            <w:pPr>
              <w:keepNext/>
            </w:pPr>
            <w:r>
              <w:rPr>
                <w:b/>
                <w:bCs/>
                <w:noProof/>
                <w:lang w:eastAsia="en-AU"/>
              </w:rPr>
              <w:drawing>
                <wp:inline distT="0" distB="0" distL="0" distR="0">
                  <wp:extent cx="2905125" cy="1609725"/>
                  <wp:effectExtent l="0" t="0" r="9525" b="9525"/>
                  <wp:docPr id="11" name="Picture 11" descr="cid:image001.jpg@01D17AD8.7E5F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7AD8.7E5FFE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905125" cy="1609725"/>
                          </a:xfrm>
                          <a:prstGeom prst="rect">
                            <a:avLst/>
                          </a:prstGeom>
                          <a:noFill/>
                          <a:ln>
                            <a:noFill/>
                          </a:ln>
                        </pic:spPr>
                      </pic:pic>
                    </a:graphicData>
                  </a:graphic>
                </wp:inline>
              </w:drawing>
            </w:r>
          </w:p>
          <w:p w:rsidR="00C563D8" w:rsidRDefault="00C563D8">
            <w:pPr>
              <w:rPr>
                <w:b/>
                <w:bCs/>
              </w:rPr>
            </w:pPr>
            <w:r>
              <w:t xml:space="preserve">The </w:t>
            </w:r>
            <w:proofErr w:type="spellStart"/>
            <w:r>
              <w:t>Wunma</w:t>
            </w:r>
            <w:proofErr w:type="spellEnd"/>
            <w:r>
              <w:t xml:space="preserve"> leaves Karumba, heading for Port Moresby on 26 February 2016.</w:t>
            </w:r>
          </w:p>
        </w:tc>
      </w:tr>
      <w:tr w:rsidR="00C563D8" w:rsidTr="00C563D8">
        <w:tc>
          <w:tcPr>
            <w:tcW w:w="123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63D8" w:rsidRDefault="00C563D8">
            <w:pPr>
              <w:rPr>
                <w:b/>
                <w:bCs/>
                <w:sz w:val="28"/>
                <w:szCs w:val="28"/>
              </w:rPr>
            </w:pPr>
            <w:r>
              <w:rPr>
                <w:b/>
                <w:bCs/>
                <w:sz w:val="28"/>
                <w:szCs w:val="28"/>
              </w:rPr>
              <w:t>Century’s infrastructure and assets:</w:t>
            </w:r>
          </w:p>
          <w:p w:rsidR="00C563D8" w:rsidRDefault="00C563D8">
            <w:pPr>
              <w:rPr>
                <w:b/>
                <w:bCs/>
              </w:rPr>
            </w:pPr>
          </w:p>
          <w:p w:rsidR="00C563D8" w:rsidRDefault="00C563D8">
            <w:r>
              <w:t>Infrastructure at Lawn Hill and Karumba is now in Care and Maintenance. If no further use is found for Century’s infrastructure at Lawn Hill and Karumba, infrastructure will be progressively removed.</w:t>
            </w:r>
          </w:p>
          <w:p w:rsidR="00C563D8" w:rsidRDefault="00C563D8"/>
          <w:p w:rsidR="00C563D8" w:rsidRDefault="00C563D8">
            <w:r>
              <w:t>The 304km underground pipeline between Lawn Hill and Karumba has been cleaned and de-commissioned. MMG will continue to manage the pipeline corridor which runs through several cattle properties</w:t>
            </w:r>
            <w:r>
              <w:rPr>
                <w:color w:val="1F497D"/>
              </w:rPr>
              <w:t xml:space="preserve">. </w:t>
            </w:r>
            <w:r>
              <w:t xml:space="preserve">  </w:t>
            </w:r>
          </w:p>
          <w:p w:rsidR="00C563D8" w:rsidRDefault="00C563D8"/>
          <w:p w:rsidR="00C563D8" w:rsidRDefault="00C563D8">
            <w:r>
              <w:t xml:space="preserve">Buildings such as dongas will remain onsite until Century’s Asset Disposal Plan is finalised. This plan will take several months to formulate because it is influenced by a number of factors such as possible future use by MMG, condition of buildings, and logistics. You </w:t>
            </w:r>
            <w:proofErr w:type="gramStart"/>
            <w:r>
              <w:t>can  express</w:t>
            </w:r>
            <w:proofErr w:type="gramEnd"/>
            <w:r>
              <w:t xml:space="preserve"> interest in obtaining infrastructure in the event that they do become available by emailing </w:t>
            </w:r>
            <w:hyperlink r:id="rId6" w:history="1">
              <w:r>
                <w:rPr>
                  <w:rStyle w:val="Hyperlink"/>
                </w:rPr>
                <w:t>ce_request_century@mmg.com</w:t>
              </w:r>
            </w:hyperlink>
            <w:r>
              <w:t xml:space="preserve"> (the spaces are underscores). All requests will be compiled </w:t>
            </w:r>
            <w:r>
              <w:lastRenderedPageBreak/>
              <w:t xml:space="preserve">so they can be addressed when the Asset Disposal Plan is completed. </w:t>
            </w:r>
          </w:p>
          <w:p w:rsidR="00C563D8" w:rsidRDefault="00C563D8"/>
          <w:p w:rsidR="00C563D8" w:rsidRDefault="00C563D8">
            <w:r>
              <w:t xml:space="preserve">The future of MMG’s houses in Karumba is currently under consideration. </w:t>
            </w:r>
          </w:p>
          <w:p w:rsidR="00C563D8" w:rsidRDefault="00C563D8">
            <w:pPr>
              <w:rPr>
                <w:b/>
                <w:bCs/>
                <w:color w:val="1F497D"/>
              </w:rPr>
            </w:pPr>
          </w:p>
        </w:tc>
        <w:tc>
          <w:tcPr>
            <w:tcW w:w="5406" w:type="dxa"/>
            <w:tcBorders>
              <w:top w:val="nil"/>
              <w:left w:val="nil"/>
              <w:bottom w:val="single" w:sz="8" w:space="0" w:color="auto"/>
              <w:right w:val="single" w:sz="8" w:space="0" w:color="auto"/>
            </w:tcBorders>
            <w:tcMar>
              <w:top w:w="0" w:type="dxa"/>
              <w:left w:w="108" w:type="dxa"/>
              <w:bottom w:w="0" w:type="dxa"/>
              <w:right w:w="108" w:type="dxa"/>
            </w:tcMar>
            <w:hideMark/>
          </w:tcPr>
          <w:p w:rsidR="00C563D8" w:rsidRDefault="00C563D8">
            <w:pPr>
              <w:keepNext/>
            </w:pPr>
            <w:r>
              <w:rPr>
                <w:b/>
                <w:bCs/>
                <w:noProof/>
                <w:lang w:eastAsia="en-AU"/>
              </w:rPr>
              <w:lastRenderedPageBreak/>
              <w:drawing>
                <wp:inline distT="0" distB="0" distL="0" distR="0">
                  <wp:extent cx="3343275" cy="2562225"/>
                  <wp:effectExtent l="0" t="0" r="9525" b="9525"/>
                  <wp:docPr id="10" name="Picture 10" descr="cid:image002.jpg@01D17AD8.7E5F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17AD8.7E5FFE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43275" cy="2562225"/>
                          </a:xfrm>
                          <a:prstGeom prst="rect">
                            <a:avLst/>
                          </a:prstGeom>
                          <a:noFill/>
                          <a:ln>
                            <a:noFill/>
                          </a:ln>
                        </pic:spPr>
                      </pic:pic>
                    </a:graphicData>
                  </a:graphic>
                </wp:inline>
              </w:drawing>
            </w:r>
          </w:p>
          <w:p w:rsidR="00C563D8" w:rsidRDefault="00C563D8">
            <w:pPr>
              <w:rPr>
                <w:b/>
                <w:bCs/>
                <w:lang w:eastAsia="en-AU"/>
              </w:rPr>
            </w:pPr>
            <w:r>
              <w:t xml:space="preserve">A Gulf Country dawn lights up Century's processing plant which is now in care and maintenance. </w:t>
            </w:r>
          </w:p>
        </w:tc>
      </w:tr>
      <w:tr w:rsidR="00C563D8" w:rsidTr="00C563D8">
        <w:tc>
          <w:tcPr>
            <w:tcW w:w="123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63D8" w:rsidRDefault="00C563D8">
            <w:pPr>
              <w:rPr>
                <w:b/>
                <w:bCs/>
                <w:sz w:val="28"/>
                <w:szCs w:val="28"/>
              </w:rPr>
            </w:pPr>
            <w:r>
              <w:rPr>
                <w:b/>
                <w:bCs/>
                <w:sz w:val="28"/>
                <w:szCs w:val="28"/>
              </w:rPr>
              <w:lastRenderedPageBreak/>
              <w:t>Workforce:</w:t>
            </w:r>
          </w:p>
          <w:p w:rsidR="00C563D8" w:rsidRDefault="00C563D8"/>
          <w:p w:rsidR="00C563D8" w:rsidRDefault="00C563D8">
            <w:r>
              <w:t xml:space="preserve">Century’s workforce has continued to decline in line with the requirements of the business. A small team of MMG and contracted employees will remain at Lawn Hill and Karumba as the sites move into Care and Maintenance mode. </w:t>
            </w:r>
          </w:p>
          <w:p w:rsidR="00C563D8" w:rsidRDefault="00C563D8"/>
          <w:p w:rsidR="00C563D8" w:rsidRDefault="00C563D8">
            <w:r>
              <w:t>Over the 16 year life of the operation, more than 1,000 people with connections to the Lower Gulf were employed at Century. For many of those people, Century provided their first experience of working in the mainstream economy and financial independence.</w:t>
            </w:r>
          </w:p>
          <w:p w:rsidR="00C563D8" w:rsidRDefault="00C563D8"/>
          <w:p w:rsidR="00C563D8" w:rsidRDefault="00C563D8">
            <w:pPr>
              <w:rPr>
                <w:b/>
                <w:bCs/>
              </w:rPr>
            </w:pPr>
            <w:r>
              <w:t>Century recruited its last intake of trainees and apprentices in 2015. There are currently over 40 young people from the Lower Gulf who are still employed by Century in these roles. All are hosted by employers around the Lower Gulf or in locations such as Townsville and Cairns.</w:t>
            </w:r>
            <w:r>
              <w:rPr>
                <w:b/>
                <w:bCs/>
              </w:rPr>
              <w:t xml:space="preserve"> </w:t>
            </w:r>
          </w:p>
          <w:p w:rsidR="00C563D8" w:rsidRDefault="00C563D8">
            <w:pPr>
              <w:rPr>
                <w:b/>
                <w:bCs/>
              </w:rPr>
            </w:pPr>
          </w:p>
          <w:p w:rsidR="00C563D8" w:rsidRDefault="00C563D8">
            <w:r>
              <w:t>The remaining trainees and apprentices will continue to be mentored and managed by MMG Century’s Human Resources Training team.</w:t>
            </w:r>
          </w:p>
          <w:p w:rsidR="00C563D8" w:rsidRDefault="00C563D8">
            <w:pPr>
              <w:rPr>
                <w:b/>
                <w:bCs/>
              </w:rPr>
            </w:pPr>
          </w:p>
        </w:tc>
        <w:tc>
          <w:tcPr>
            <w:tcW w:w="5406" w:type="dxa"/>
            <w:tcBorders>
              <w:top w:val="nil"/>
              <w:left w:val="nil"/>
              <w:bottom w:val="single" w:sz="8" w:space="0" w:color="auto"/>
              <w:right w:val="single" w:sz="8" w:space="0" w:color="auto"/>
            </w:tcBorders>
            <w:tcMar>
              <w:top w:w="0" w:type="dxa"/>
              <w:left w:w="108" w:type="dxa"/>
              <w:bottom w:w="0" w:type="dxa"/>
              <w:right w:w="108" w:type="dxa"/>
            </w:tcMar>
            <w:hideMark/>
          </w:tcPr>
          <w:p w:rsidR="00C563D8" w:rsidRDefault="00C563D8">
            <w:pPr>
              <w:keepNext/>
            </w:pPr>
            <w:r>
              <w:rPr>
                <w:b/>
                <w:bCs/>
                <w:noProof/>
                <w:lang w:eastAsia="en-AU"/>
              </w:rPr>
              <w:drawing>
                <wp:inline distT="0" distB="0" distL="0" distR="0">
                  <wp:extent cx="3371850" cy="1943100"/>
                  <wp:effectExtent l="0" t="0" r="0" b="0"/>
                  <wp:docPr id="9" name="Picture 9" descr="cid:image003.jpg@01D17AD8.7E5F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7AD8.7E5FFE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71850" cy="1943100"/>
                          </a:xfrm>
                          <a:prstGeom prst="rect">
                            <a:avLst/>
                          </a:prstGeom>
                          <a:noFill/>
                          <a:ln>
                            <a:noFill/>
                          </a:ln>
                        </pic:spPr>
                      </pic:pic>
                    </a:graphicData>
                  </a:graphic>
                </wp:inline>
              </w:drawing>
            </w:r>
          </w:p>
          <w:p w:rsidR="00C563D8" w:rsidRDefault="00C563D8">
            <w:pPr>
              <w:rPr>
                <w:b/>
                <w:bCs/>
              </w:rPr>
            </w:pPr>
            <w:r>
              <w:t xml:space="preserve">The final group of trainees and apprentices recruited by MMG Century in 2015. All trainees and apprentices have connections to the Lower Gulf. </w:t>
            </w:r>
          </w:p>
        </w:tc>
      </w:tr>
      <w:tr w:rsidR="00C563D8" w:rsidTr="00C563D8">
        <w:tc>
          <w:tcPr>
            <w:tcW w:w="123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63D8" w:rsidRDefault="00C563D8">
            <w:pPr>
              <w:rPr>
                <w:b/>
                <w:bCs/>
                <w:sz w:val="28"/>
                <w:szCs w:val="28"/>
              </w:rPr>
            </w:pPr>
            <w:r>
              <w:rPr>
                <w:b/>
                <w:bCs/>
                <w:sz w:val="28"/>
                <w:szCs w:val="28"/>
              </w:rPr>
              <w:t>Flights:</w:t>
            </w:r>
          </w:p>
          <w:p w:rsidR="00C563D8" w:rsidRDefault="00C563D8">
            <w:pPr>
              <w:rPr>
                <w:b/>
                <w:bCs/>
              </w:rPr>
            </w:pPr>
          </w:p>
          <w:p w:rsidR="00C563D8" w:rsidRDefault="00C563D8">
            <w:r>
              <w:t xml:space="preserve">The final employee commute flight will leave Century on Friday 1 April. </w:t>
            </w:r>
          </w:p>
          <w:p w:rsidR="00C563D8" w:rsidRDefault="00C563D8"/>
          <w:p w:rsidR="00C563D8" w:rsidRDefault="00C563D8">
            <w:r>
              <w:t xml:space="preserve">Century’s airport, like all other infrastructure, will be placed in Care and Maintenance. After 1 April 2016, access to Century will be </w:t>
            </w:r>
            <w:r>
              <w:rPr>
                <w:i/>
                <w:iCs/>
              </w:rPr>
              <w:t>Drive In Drive Out</w:t>
            </w:r>
            <w:r>
              <w:t xml:space="preserve"> for the ongoing workforce.  </w:t>
            </w:r>
          </w:p>
          <w:p w:rsidR="00C563D8" w:rsidRDefault="00C563D8"/>
          <w:p w:rsidR="00C563D8" w:rsidRDefault="00C563D8">
            <w:r>
              <w:t xml:space="preserve">As advised in previous communications, Century is no longer able to assist community members with flights. </w:t>
            </w:r>
          </w:p>
        </w:tc>
        <w:tc>
          <w:tcPr>
            <w:tcW w:w="5406" w:type="dxa"/>
            <w:tcBorders>
              <w:top w:val="nil"/>
              <w:left w:val="nil"/>
              <w:bottom w:val="single" w:sz="8" w:space="0" w:color="auto"/>
              <w:right w:val="single" w:sz="8" w:space="0" w:color="auto"/>
            </w:tcBorders>
            <w:tcMar>
              <w:top w:w="0" w:type="dxa"/>
              <w:left w:w="108" w:type="dxa"/>
              <w:bottom w:w="0" w:type="dxa"/>
              <w:right w:w="108" w:type="dxa"/>
            </w:tcMar>
            <w:hideMark/>
          </w:tcPr>
          <w:p w:rsidR="00C563D8" w:rsidRDefault="00C563D8">
            <w:pPr>
              <w:keepNext/>
            </w:pPr>
            <w:r>
              <w:rPr>
                <w:b/>
                <w:bCs/>
                <w:noProof/>
                <w:lang w:eastAsia="en-AU"/>
              </w:rPr>
              <w:drawing>
                <wp:inline distT="0" distB="0" distL="0" distR="0">
                  <wp:extent cx="2400300" cy="1543050"/>
                  <wp:effectExtent l="0" t="0" r="0" b="0"/>
                  <wp:docPr id="8" name="Picture 8" descr="cid:image004.jpg@01D17AD8.7E5F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17AD8.7E5FFE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p>
          <w:p w:rsidR="00C563D8" w:rsidRDefault="00C563D8">
            <w:pPr>
              <w:rPr>
                <w:b/>
                <w:bCs/>
              </w:rPr>
            </w:pPr>
            <w:r>
              <w:t xml:space="preserve">The final employee flight from Century will be on Friday 1 April 2016. Our contact partners Alliance and </w:t>
            </w:r>
            <w:proofErr w:type="spellStart"/>
            <w:r>
              <w:t>WestWing</w:t>
            </w:r>
            <w:proofErr w:type="spellEnd"/>
            <w:r>
              <w:t xml:space="preserve"> have provided a great service to Century during our years of operation. </w:t>
            </w:r>
          </w:p>
        </w:tc>
      </w:tr>
      <w:tr w:rsidR="00C563D8" w:rsidTr="00C563D8">
        <w:tc>
          <w:tcPr>
            <w:tcW w:w="123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63D8" w:rsidRDefault="00C563D8">
            <w:pPr>
              <w:rPr>
                <w:b/>
                <w:bCs/>
                <w:sz w:val="28"/>
                <w:szCs w:val="28"/>
              </w:rPr>
            </w:pPr>
            <w:r>
              <w:rPr>
                <w:b/>
                <w:bCs/>
                <w:sz w:val="28"/>
                <w:szCs w:val="28"/>
              </w:rPr>
              <w:t>Rehabilitation:</w:t>
            </w:r>
          </w:p>
          <w:p w:rsidR="00C563D8" w:rsidRDefault="00C563D8">
            <w:pPr>
              <w:rPr>
                <w:b/>
                <w:bCs/>
              </w:rPr>
            </w:pPr>
          </w:p>
          <w:p w:rsidR="00C563D8" w:rsidRDefault="00C563D8">
            <w:r>
              <w:t>Century is now in its Active Closure phase, with all operational activity coming to an end and the focus now on preparing Lawn Hill and Karumba for Care and Maintenance.</w:t>
            </w:r>
          </w:p>
          <w:p w:rsidR="00C563D8" w:rsidRDefault="00C563D8"/>
          <w:p w:rsidR="00C563D8" w:rsidRDefault="00C563D8">
            <w:r>
              <w:t xml:space="preserve">The main focus of rehabilitation of the Lawn Hill site are the waste rock dumps. These waste rock dumps are carefully constructed to </w:t>
            </w:r>
            <w:r>
              <w:lastRenderedPageBreak/>
              <w:t xml:space="preserve">nurture local plants and animals and to protect surrounding country from run-offs of naturally occurring acid sulphates that are disturbed by the mining process. </w:t>
            </w:r>
          </w:p>
          <w:p w:rsidR="00C563D8" w:rsidRDefault="00C563D8"/>
          <w:p w:rsidR="00C563D8" w:rsidRDefault="00C563D8">
            <w:r>
              <w:t xml:space="preserve">Water management will also now be an important focus for the team remaining onsite. </w:t>
            </w:r>
          </w:p>
          <w:p w:rsidR="00C563D8" w:rsidRDefault="00C563D8"/>
          <w:p w:rsidR="00C563D8" w:rsidRDefault="00C563D8">
            <w:r>
              <w:t xml:space="preserve">MMG works to foster a positive relationship with Traditional Owners through the work of the Century Environment Committee. This group, made up of Native Title representatives, the State Government and MMG Century has a role in working </w:t>
            </w:r>
            <w:proofErr w:type="gramStart"/>
            <w:r>
              <w:t>together  to</w:t>
            </w:r>
            <w:proofErr w:type="gramEnd"/>
            <w:r>
              <w:t xml:space="preserve"> ensure that Century’s rehabilitation is effective. </w:t>
            </w:r>
          </w:p>
          <w:p w:rsidR="00C563D8" w:rsidRDefault="00C563D8">
            <w:pPr>
              <w:rPr>
                <w:b/>
                <w:bCs/>
              </w:rPr>
            </w:pPr>
          </w:p>
        </w:tc>
        <w:tc>
          <w:tcPr>
            <w:tcW w:w="5406" w:type="dxa"/>
            <w:tcBorders>
              <w:top w:val="nil"/>
              <w:left w:val="nil"/>
              <w:bottom w:val="single" w:sz="8" w:space="0" w:color="auto"/>
              <w:right w:val="single" w:sz="8" w:space="0" w:color="auto"/>
            </w:tcBorders>
            <w:tcMar>
              <w:top w:w="0" w:type="dxa"/>
              <w:left w:w="108" w:type="dxa"/>
              <w:bottom w:w="0" w:type="dxa"/>
              <w:right w:w="108" w:type="dxa"/>
            </w:tcMar>
          </w:tcPr>
          <w:p w:rsidR="00C563D8" w:rsidRDefault="00C563D8">
            <w:pPr>
              <w:keepNext/>
            </w:pPr>
            <w:r>
              <w:rPr>
                <w:b/>
                <w:bCs/>
                <w:noProof/>
                <w:lang w:eastAsia="en-AU"/>
              </w:rPr>
              <w:lastRenderedPageBreak/>
              <w:drawing>
                <wp:inline distT="0" distB="0" distL="0" distR="0">
                  <wp:extent cx="3429000" cy="1257300"/>
                  <wp:effectExtent l="0" t="0" r="0" b="0"/>
                  <wp:docPr id="7" name="Picture 7" descr="cid:image005.jpg@01D17AD8.7E5F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jpg@01D17AD8.7E5FFE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429000" cy="1257300"/>
                          </a:xfrm>
                          <a:prstGeom prst="rect">
                            <a:avLst/>
                          </a:prstGeom>
                          <a:noFill/>
                          <a:ln>
                            <a:noFill/>
                          </a:ln>
                        </pic:spPr>
                      </pic:pic>
                    </a:graphicData>
                  </a:graphic>
                </wp:inline>
              </w:drawing>
            </w:r>
          </w:p>
          <w:p w:rsidR="00C563D8" w:rsidRDefault="00C563D8">
            <w:r>
              <w:t xml:space="preserve">Century’s rehabilitation crew moved a record amount of earth as part of recent rehab work onsite at Lawn Hill. </w:t>
            </w:r>
          </w:p>
          <w:p w:rsidR="00C563D8" w:rsidRDefault="00C563D8"/>
          <w:p w:rsidR="00C563D8" w:rsidRDefault="00C563D8">
            <w:pPr>
              <w:keepNext/>
            </w:pPr>
            <w:r>
              <w:rPr>
                <w:b/>
                <w:bCs/>
                <w:noProof/>
                <w:lang w:eastAsia="en-AU"/>
              </w:rPr>
              <w:lastRenderedPageBreak/>
              <w:drawing>
                <wp:inline distT="0" distB="0" distL="0" distR="0">
                  <wp:extent cx="2619375" cy="1743075"/>
                  <wp:effectExtent l="0" t="0" r="9525" b="9525"/>
                  <wp:docPr id="6" name="Picture 6" descr="cid:image006.jpg@01D17AD8.7E5F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jpg@01D17AD8.7E5FFE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C563D8" w:rsidRDefault="00C563D8">
            <w:pPr>
              <w:rPr>
                <w:b/>
                <w:bCs/>
              </w:rPr>
            </w:pPr>
            <w:r>
              <w:t>A rehabilitated 'borrow pit' on the Century lease at Lawn Hill becomes a billabong during the wet season.</w:t>
            </w:r>
          </w:p>
        </w:tc>
      </w:tr>
      <w:tr w:rsidR="00C563D8" w:rsidTr="00C563D8">
        <w:tc>
          <w:tcPr>
            <w:tcW w:w="123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63D8" w:rsidRDefault="00C563D8">
            <w:pPr>
              <w:rPr>
                <w:b/>
                <w:bCs/>
                <w:sz w:val="28"/>
                <w:szCs w:val="28"/>
              </w:rPr>
            </w:pPr>
            <w:r>
              <w:rPr>
                <w:b/>
                <w:bCs/>
                <w:sz w:val="28"/>
                <w:szCs w:val="28"/>
              </w:rPr>
              <w:lastRenderedPageBreak/>
              <w:t>Gulf Communities Agreement (GCA):</w:t>
            </w:r>
          </w:p>
          <w:p w:rsidR="00C563D8" w:rsidRDefault="00C563D8"/>
          <w:p w:rsidR="00C563D8" w:rsidRDefault="00C563D8">
            <w:pPr>
              <w:rPr>
                <w:b/>
                <w:bCs/>
              </w:rPr>
            </w:pPr>
            <w:r>
              <w:t>The 1997 Gulf Communities Agreement is a significant plank in Century’s Social Licence to Operate. The signatories to the Agreement are local Native Title Groups (</w:t>
            </w:r>
            <w:proofErr w:type="spellStart"/>
            <w:r>
              <w:t>Waanyi</w:t>
            </w:r>
            <w:proofErr w:type="spellEnd"/>
            <w:r>
              <w:t xml:space="preserve">, </w:t>
            </w:r>
            <w:proofErr w:type="spellStart"/>
            <w:r>
              <w:t>Mingindda</w:t>
            </w:r>
            <w:proofErr w:type="spellEnd"/>
            <w:r>
              <w:t xml:space="preserve">, </w:t>
            </w:r>
            <w:proofErr w:type="spellStart"/>
            <w:r>
              <w:t>Kukatj</w:t>
            </w:r>
            <w:proofErr w:type="spellEnd"/>
            <w:r>
              <w:t xml:space="preserve"> and </w:t>
            </w:r>
            <w:proofErr w:type="spellStart"/>
            <w:r>
              <w:t>Gkuthaarn</w:t>
            </w:r>
            <w:proofErr w:type="spellEnd"/>
            <w:r>
              <w:t>), the Queensland Government and Century Mine.</w:t>
            </w:r>
            <w:r>
              <w:rPr>
                <w:b/>
                <w:bCs/>
              </w:rPr>
              <w:t xml:space="preserve">  </w:t>
            </w:r>
          </w:p>
          <w:p w:rsidR="00C563D8" w:rsidRDefault="00C563D8"/>
          <w:p w:rsidR="00C563D8" w:rsidRDefault="00C563D8">
            <w:pPr>
              <w:rPr>
                <w:b/>
                <w:bCs/>
              </w:rPr>
            </w:pPr>
            <w:r>
              <w:t>Now that production has ended at Century, components of the GCA that continue include the Century Environment Committee, the Gulf Aboriginal Development Corporation (GADC) and the Aboriginal Development Benefits Trust (ADBT). MMG Century will continue to pay compensation payments to the all Native Title Eligible Bodies for 2016, 2017 and 2018</w:t>
            </w:r>
            <w:r>
              <w:rPr>
                <w:color w:val="1F497D"/>
              </w:rPr>
              <w:t>.</w:t>
            </w:r>
          </w:p>
          <w:p w:rsidR="00C563D8" w:rsidRDefault="00C563D8"/>
          <w:p w:rsidR="00C563D8" w:rsidRDefault="00C563D8">
            <w:pPr>
              <w:rPr>
                <w:b/>
                <w:bCs/>
              </w:rPr>
            </w:pPr>
            <w:r>
              <w:t>MMG Century is committed to working with Native Title representatives to ensure that all commitments are met in a framework of effective governance and transparency by all parties.</w:t>
            </w:r>
            <w:r>
              <w:rPr>
                <w:b/>
                <w:bCs/>
              </w:rPr>
              <w:t xml:space="preserve"> </w:t>
            </w:r>
          </w:p>
        </w:tc>
        <w:tc>
          <w:tcPr>
            <w:tcW w:w="5406" w:type="dxa"/>
            <w:tcBorders>
              <w:top w:val="nil"/>
              <w:left w:val="nil"/>
              <w:bottom w:val="single" w:sz="8" w:space="0" w:color="auto"/>
              <w:right w:val="single" w:sz="8" w:space="0" w:color="auto"/>
            </w:tcBorders>
            <w:tcMar>
              <w:top w:w="0" w:type="dxa"/>
              <w:left w:w="108" w:type="dxa"/>
              <w:bottom w:w="0" w:type="dxa"/>
              <w:right w:w="108" w:type="dxa"/>
            </w:tcMar>
          </w:tcPr>
          <w:p w:rsidR="00C563D8" w:rsidRDefault="00C563D8">
            <w:pPr>
              <w:keepNext/>
            </w:pPr>
            <w:r>
              <w:rPr>
                <w:b/>
                <w:bCs/>
                <w:noProof/>
                <w:lang w:eastAsia="en-AU"/>
              </w:rPr>
              <w:drawing>
                <wp:inline distT="0" distB="0" distL="0" distR="0">
                  <wp:extent cx="3505200" cy="2324100"/>
                  <wp:effectExtent l="0" t="0" r="0" b="0"/>
                  <wp:docPr id="5" name="Picture 5" descr="cid:image007.jpg@01D17AD8.7E5F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01D17AD8.7E5FFE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505200" cy="2324100"/>
                          </a:xfrm>
                          <a:prstGeom prst="rect">
                            <a:avLst/>
                          </a:prstGeom>
                          <a:noFill/>
                          <a:ln>
                            <a:noFill/>
                          </a:ln>
                        </pic:spPr>
                      </pic:pic>
                    </a:graphicData>
                  </a:graphic>
                </wp:inline>
              </w:drawing>
            </w:r>
          </w:p>
          <w:p w:rsidR="00C563D8" w:rsidRDefault="00C563D8">
            <w:r>
              <w:t>Normanton Traders is an example of a successful local business in the Gulf that arose from the Gulf Communities Agreement.</w:t>
            </w:r>
          </w:p>
          <w:p w:rsidR="00C563D8" w:rsidRDefault="00C563D8">
            <w:pPr>
              <w:rPr>
                <w:b/>
                <w:bCs/>
              </w:rPr>
            </w:pPr>
          </w:p>
        </w:tc>
      </w:tr>
      <w:tr w:rsidR="00C563D8" w:rsidTr="00C563D8">
        <w:tc>
          <w:tcPr>
            <w:tcW w:w="123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63D8" w:rsidRDefault="00C563D8">
            <w:pPr>
              <w:rPr>
                <w:b/>
                <w:bCs/>
                <w:sz w:val="28"/>
                <w:szCs w:val="28"/>
              </w:rPr>
            </w:pPr>
            <w:r>
              <w:rPr>
                <w:b/>
                <w:bCs/>
                <w:sz w:val="28"/>
                <w:szCs w:val="28"/>
              </w:rPr>
              <w:t>Lawn Hill and Riversleigh Pastoral Holding Company:</w:t>
            </w:r>
          </w:p>
          <w:p w:rsidR="00C563D8" w:rsidRDefault="00C563D8"/>
          <w:p w:rsidR="00C563D8" w:rsidRDefault="00C563D8">
            <w:r>
              <w:t xml:space="preserve">Century Mine (then owned by </w:t>
            </w:r>
            <w:proofErr w:type="spellStart"/>
            <w:r>
              <w:t>Pasminco</w:t>
            </w:r>
            <w:proofErr w:type="spellEnd"/>
            <w:r>
              <w:t>) purchased Lawn Hill and Riversleigh Stations and incorporated them into the Lawn Hill and</w:t>
            </w:r>
            <w:proofErr w:type="gramStart"/>
            <w:r>
              <w:t>  Riversleigh</w:t>
            </w:r>
            <w:proofErr w:type="gramEnd"/>
            <w:r>
              <w:t xml:space="preserve"> Pastoral Holding Company in 1998. Since then, a process of transitioning to 100 percent ownership by the </w:t>
            </w:r>
            <w:proofErr w:type="spellStart"/>
            <w:r>
              <w:t>Waanyi</w:t>
            </w:r>
            <w:proofErr w:type="spellEnd"/>
            <w:r>
              <w:t xml:space="preserve"> Traditional Owners has been underway. </w:t>
            </w:r>
          </w:p>
          <w:p w:rsidR="00C563D8" w:rsidRDefault="00C563D8"/>
          <w:p w:rsidR="00C563D8" w:rsidRDefault="00C563D8">
            <w:r>
              <w:t xml:space="preserve">Currently, the </w:t>
            </w:r>
            <w:proofErr w:type="spellStart"/>
            <w:r>
              <w:t>Waanyi</w:t>
            </w:r>
            <w:proofErr w:type="spellEnd"/>
            <w:r>
              <w:t xml:space="preserve"> Special Purpose Company retains 51 percent ownership of the LHRPHC and MMG retains 49 percent ownership. The Board of Directors is made up of five </w:t>
            </w:r>
            <w:proofErr w:type="spellStart"/>
            <w:r>
              <w:t>Waanyi</w:t>
            </w:r>
            <w:proofErr w:type="spellEnd"/>
            <w:r>
              <w:t xml:space="preserve"> and four MMG representatives. </w:t>
            </w:r>
          </w:p>
          <w:p w:rsidR="00C563D8" w:rsidRDefault="00C563D8">
            <w:pPr>
              <w:rPr>
                <w:b/>
                <w:bCs/>
              </w:rPr>
            </w:pPr>
          </w:p>
        </w:tc>
        <w:tc>
          <w:tcPr>
            <w:tcW w:w="5406" w:type="dxa"/>
            <w:tcBorders>
              <w:top w:val="nil"/>
              <w:left w:val="nil"/>
              <w:bottom w:val="single" w:sz="8" w:space="0" w:color="auto"/>
              <w:right w:val="single" w:sz="8" w:space="0" w:color="auto"/>
            </w:tcBorders>
            <w:tcMar>
              <w:top w:w="0" w:type="dxa"/>
              <w:left w:w="108" w:type="dxa"/>
              <w:bottom w:w="0" w:type="dxa"/>
              <w:right w:w="108" w:type="dxa"/>
            </w:tcMar>
          </w:tcPr>
          <w:p w:rsidR="00C563D8" w:rsidRDefault="00C563D8">
            <w:pPr>
              <w:keepNext/>
            </w:pPr>
            <w:r>
              <w:rPr>
                <w:b/>
                <w:bCs/>
                <w:noProof/>
                <w:lang w:eastAsia="en-AU"/>
              </w:rPr>
              <w:drawing>
                <wp:inline distT="0" distB="0" distL="0" distR="0">
                  <wp:extent cx="3638550" cy="2495550"/>
                  <wp:effectExtent l="0" t="0" r="0" b="0"/>
                  <wp:docPr id="4" name="Picture 4" descr="cid:image008.jpg@01D17AD8.7E5F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8.jpg@01D17AD8.7E5FFE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38550" cy="2495550"/>
                          </a:xfrm>
                          <a:prstGeom prst="rect">
                            <a:avLst/>
                          </a:prstGeom>
                          <a:noFill/>
                          <a:ln>
                            <a:noFill/>
                          </a:ln>
                        </pic:spPr>
                      </pic:pic>
                    </a:graphicData>
                  </a:graphic>
                </wp:inline>
              </w:drawing>
            </w:r>
          </w:p>
          <w:p w:rsidR="00C563D8" w:rsidRDefault="00C563D8">
            <w:r>
              <w:t>Graduates with their prized saddles at the 2015 Riversleigh Open Day.</w:t>
            </w:r>
          </w:p>
          <w:p w:rsidR="00C563D8" w:rsidRDefault="00C563D8">
            <w:pPr>
              <w:keepNext/>
              <w:rPr>
                <w:b/>
                <w:bCs/>
                <w:lang w:eastAsia="en-AU"/>
              </w:rPr>
            </w:pPr>
          </w:p>
        </w:tc>
      </w:tr>
      <w:tr w:rsidR="00C563D8" w:rsidTr="00C563D8">
        <w:tc>
          <w:tcPr>
            <w:tcW w:w="123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63D8" w:rsidRDefault="00C563D8">
            <w:pPr>
              <w:rPr>
                <w:b/>
                <w:bCs/>
                <w:sz w:val="28"/>
                <w:szCs w:val="28"/>
              </w:rPr>
            </w:pPr>
            <w:r>
              <w:rPr>
                <w:b/>
                <w:bCs/>
                <w:sz w:val="28"/>
                <w:szCs w:val="28"/>
              </w:rPr>
              <w:lastRenderedPageBreak/>
              <w:t>Community Investment:</w:t>
            </w:r>
          </w:p>
          <w:p w:rsidR="00C563D8" w:rsidRDefault="00C563D8">
            <w:pPr>
              <w:rPr>
                <w:b/>
                <w:bCs/>
              </w:rPr>
            </w:pPr>
          </w:p>
          <w:p w:rsidR="00C563D8" w:rsidRDefault="00C563D8">
            <w:r>
              <w:t xml:space="preserve">Century’s community sponsorship program ended in December 2015. In 2015 alone, Century contributed over $114,000 in direct sponsorships and donations to Not-For-Profit organisations in the Burke, Carpentaria, Mornington and Doomadgee Shires. </w:t>
            </w:r>
          </w:p>
          <w:p w:rsidR="00C563D8" w:rsidRDefault="00C563D8"/>
          <w:p w:rsidR="00C563D8" w:rsidRDefault="00C563D8">
            <w:r>
              <w:t xml:space="preserve">In the same way that Century focused its community support on the Burke, Carpentaria, Mornington and Doomadgee Shires, the </w:t>
            </w:r>
            <w:proofErr w:type="spellStart"/>
            <w:r>
              <w:t>Dugald</w:t>
            </w:r>
            <w:proofErr w:type="spellEnd"/>
            <w:r>
              <w:t xml:space="preserve"> River Development will focus its community support in the Cloncurry and Mount Isa local government areas. </w:t>
            </w:r>
          </w:p>
          <w:p w:rsidR="00C563D8" w:rsidRDefault="00C563D8"/>
          <w:p w:rsidR="00C563D8" w:rsidRDefault="00C563D8">
            <w:r>
              <w:t xml:space="preserve">In addition to community sponsorships and donations, Century has contributed to large legacy projects such as the Karumba Pool Precinct. MMG will also continue to pay rates to the Burke and Carpentaria Shires. These rate payments from Century currently make up the majority of rate income for those shires. </w:t>
            </w:r>
          </w:p>
          <w:p w:rsidR="00C563D8" w:rsidRDefault="00C563D8"/>
          <w:p w:rsidR="00C563D8" w:rsidRDefault="00C563D8">
            <w:r>
              <w:t>During our rehabilitation phase</w:t>
            </w:r>
            <w:proofErr w:type="gramStart"/>
            <w:r>
              <w:t>,  Century</w:t>
            </w:r>
            <w:proofErr w:type="gramEnd"/>
            <w:r>
              <w:t xml:space="preserve"> will continue to support local businesses in the Gulf through our local procurement and employment practices where the necessary capabilities exist.</w:t>
            </w:r>
          </w:p>
          <w:p w:rsidR="00C563D8" w:rsidRDefault="00C563D8"/>
          <w:p w:rsidR="00C563D8" w:rsidRDefault="00C563D8">
            <w:pPr>
              <w:rPr>
                <w:b/>
                <w:bCs/>
              </w:rPr>
            </w:pPr>
          </w:p>
        </w:tc>
        <w:tc>
          <w:tcPr>
            <w:tcW w:w="5406" w:type="dxa"/>
            <w:tcBorders>
              <w:top w:val="nil"/>
              <w:left w:val="nil"/>
              <w:bottom w:val="single" w:sz="8" w:space="0" w:color="auto"/>
              <w:right w:val="single" w:sz="8" w:space="0" w:color="auto"/>
            </w:tcBorders>
            <w:tcMar>
              <w:top w:w="0" w:type="dxa"/>
              <w:left w:w="108" w:type="dxa"/>
              <w:bottom w:w="0" w:type="dxa"/>
              <w:right w:w="108" w:type="dxa"/>
            </w:tcMar>
            <w:hideMark/>
          </w:tcPr>
          <w:p w:rsidR="00C563D8" w:rsidRDefault="00C563D8">
            <w:pPr>
              <w:keepNext/>
            </w:pPr>
            <w:r>
              <w:rPr>
                <w:b/>
                <w:bCs/>
                <w:noProof/>
                <w:lang w:eastAsia="en-AU"/>
              </w:rPr>
              <w:drawing>
                <wp:inline distT="0" distB="0" distL="0" distR="0">
                  <wp:extent cx="2933700" cy="2114550"/>
                  <wp:effectExtent l="0" t="0" r="0" b="0"/>
                  <wp:docPr id="3" name="Picture 3" descr="cid:image014.jpg@01D17AD8.7E5F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4.jpg@01D17AD8.7E5FFE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33700" cy="2114550"/>
                          </a:xfrm>
                          <a:prstGeom prst="rect">
                            <a:avLst/>
                          </a:prstGeom>
                          <a:noFill/>
                          <a:ln>
                            <a:noFill/>
                          </a:ln>
                        </pic:spPr>
                      </pic:pic>
                    </a:graphicData>
                  </a:graphic>
                </wp:inline>
              </w:drawing>
            </w:r>
          </w:p>
          <w:p w:rsidR="00C563D8" w:rsidRDefault="00C563D8">
            <w:pPr>
              <w:rPr>
                <w:b/>
                <w:bCs/>
              </w:rPr>
            </w:pPr>
            <w:r>
              <w:t>The Doomadgee Rodeo is one of many events supported by MMG Century in 2015 and previously.</w:t>
            </w:r>
          </w:p>
        </w:tc>
      </w:tr>
      <w:tr w:rsidR="00C563D8" w:rsidTr="00C563D8">
        <w:tc>
          <w:tcPr>
            <w:tcW w:w="123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63D8" w:rsidRDefault="00C563D8">
            <w:pPr>
              <w:rPr>
                <w:b/>
                <w:bCs/>
                <w:sz w:val="28"/>
                <w:szCs w:val="28"/>
              </w:rPr>
            </w:pPr>
            <w:proofErr w:type="spellStart"/>
            <w:r>
              <w:rPr>
                <w:b/>
                <w:bCs/>
                <w:sz w:val="28"/>
                <w:szCs w:val="28"/>
              </w:rPr>
              <w:t>Dugald</w:t>
            </w:r>
            <w:proofErr w:type="spellEnd"/>
            <w:r>
              <w:rPr>
                <w:b/>
                <w:bCs/>
                <w:sz w:val="28"/>
                <w:szCs w:val="28"/>
              </w:rPr>
              <w:t xml:space="preserve"> River:</w:t>
            </w:r>
          </w:p>
          <w:p w:rsidR="00C563D8" w:rsidRDefault="00C563D8"/>
          <w:p w:rsidR="00C563D8" w:rsidRDefault="00C563D8">
            <w:r>
              <w:t xml:space="preserve">MMG’s development at </w:t>
            </w:r>
            <w:proofErr w:type="spellStart"/>
            <w:r>
              <w:t>Dugald</w:t>
            </w:r>
            <w:proofErr w:type="spellEnd"/>
            <w:r>
              <w:t xml:space="preserve"> River is situated approximately 65km north of Cloncurry. It is entering a construction period in 2016, with Mine Commissioning scheduled for the first half of 2018.</w:t>
            </w:r>
          </w:p>
          <w:p w:rsidR="00C563D8" w:rsidRDefault="00C563D8"/>
          <w:p w:rsidR="00C563D8" w:rsidRDefault="00C563D8">
            <w:r>
              <w:t xml:space="preserve">For community enquiries, or for businesses wishing to become suppliers for </w:t>
            </w:r>
            <w:proofErr w:type="spellStart"/>
            <w:r>
              <w:t>Dugald</w:t>
            </w:r>
            <w:proofErr w:type="spellEnd"/>
            <w:r>
              <w:t xml:space="preserve"> River, visit the </w:t>
            </w:r>
            <w:hyperlink r:id="rId23" w:history="1">
              <w:proofErr w:type="spellStart"/>
              <w:r>
                <w:rPr>
                  <w:rStyle w:val="Hyperlink"/>
                </w:rPr>
                <w:t>Dugald</w:t>
              </w:r>
              <w:proofErr w:type="spellEnd"/>
              <w:r>
                <w:rPr>
                  <w:rStyle w:val="Hyperlink"/>
                </w:rPr>
                <w:t xml:space="preserve"> River webpage</w:t>
              </w:r>
            </w:hyperlink>
            <w:r>
              <w:t xml:space="preserve">. </w:t>
            </w:r>
          </w:p>
          <w:p w:rsidR="00C563D8" w:rsidRDefault="00C563D8"/>
          <w:p w:rsidR="00C563D8" w:rsidRDefault="00C563D8">
            <w:r>
              <w:t xml:space="preserve">Employment opportunities with MMG (including </w:t>
            </w:r>
            <w:proofErr w:type="spellStart"/>
            <w:r>
              <w:t>Dugald</w:t>
            </w:r>
            <w:proofErr w:type="spellEnd"/>
            <w:r>
              <w:t xml:space="preserve"> River) are advertised on the mmg.com </w:t>
            </w:r>
            <w:hyperlink r:id="rId24" w:history="1">
              <w:r>
                <w:rPr>
                  <w:rStyle w:val="Hyperlink"/>
                </w:rPr>
                <w:t>Careers page</w:t>
              </w:r>
            </w:hyperlink>
            <w:r>
              <w:t xml:space="preserve">. MMG’s contract partners undertake their own recruitment. </w:t>
            </w:r>
          </w:p>
          <w:p w:rsidR="00C563D8" w:rsidRDefault="00C563D8"/>
          <w:p w:rsidR="00C563D8" w:rsidRDefault="00C563D8"/>
          <w:p w:rsidR="00C563D8" w:rsidRDefault="00C563D8"/>
          <w:p w:rsidR="00C563D8" w:rsidRDefault="00C563D8">
            <w:bookmarkStart w:id="0" w:name="_GoBack"/>
            <w:bookmarkEnd w:id="0"/>
          </w:p>
          <w:p w:rsidR="00C563D8" w:rsidRDefault="00C563D8">
            <w:pPr>
              <w:rPr>
                <w:b/>
                <w:bCs/>
                <w:sz w:val="28"/>
                <w:szCs w:val="28"/>
              </w:rPr>
            </w:pPr>
          </w:p>
        </w:tc>
        <w:tc>
          <w:tcPr>
            <w:tcW w:w="5406" w:type="dxa"/>
            <w:tcBorders>
              <w:top w:val="nil"/>
              <w:left w:val="nil"/>
              <w:bottom w:val="single" w:sz="8" w:space="0" w:color="auto"/>
              <w:right w:val="single" w:sz="8" w:space="0" w:color="auto"/>
            </w:tcBorders>
            <w:tcMar>
              <w:top w:w="0" w:type="dxa"/>
              <w:left w:w="108" w:type="dxa"/>
              <w:bottom w:w="0" w:type="dxa"/>
              <w:right w:w="108" w:type="dxa"/>
            </w:tcMar>
            <w:hideMark/>
          </w:tcPr>
          <w:p w:rsidR="00C563D8" w:rsidRDefault="00C563D8">
            <w:pPr>
              <w:keepNext/>
            </w:pPr>
            <w:r>
              <w:rPr>
                <w:b/>
                <w:bCs/>
                <w:noProof/>
                <w:lang w:eastAsia="en-AU"/>
              </w:rPr>
              <w:drawing>
                <wp:inline distT="0" distB="0" distL="0" distR="0">
                  <wp:extent cx="2381250" cy="1647825"/>
                  <wp:effectExtent l="0" t="0" r="0" b="9525"/>
                  <wp:docPr id="2" name="Picture 2" descr="cid:image016.jpg@01D17AD8.7E5F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6.jpg@01D17AD8.7E5FFEC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381250" cy="1647825"/>
                          </a:xfrm>
                          <a:prstGeom prst="rect">
                            <a:avLst/>
                          </a:prstGeom>
                          <a:noFill/>
                          <a:ln>
                            <a:noFill/>
                          </a:ln>
                        </pic:spPr>
                      </pic:pic>
                    </a:graphicData>
                  </a:graphic>
                </wp:inline>
              </w:drawing>
            </w:r>
          </w:p>
          <w:p w:rsidR="00C563D8" w:rsidRDefault="00C563D8">
            <w:pPr>
              <w:rPr>
                <w:b/>
                <w:bCs/>
              </w:rPr>
            </w:pPr>
            <w:r>
              <w:t xml:space="preserve">Drilling underground at </w:t>
            </w:r>
            <w:proofErr w:type="spellStart"/>
            <w:r>
              <w:t>Dugald</w:t>
            </w:r>
            <w:proofErr w:type="spellEnd"/>
            <w:r>
              <w:t xml:space="preserve"> River.</w:t>
            </w:r>
          </w:p>
        </w:tc>
      </w:tr>
      <w:tr w:rsidR="00C563D8" w:rsidTr="00C563D8">
        <w:tc>
          <w:tcPr>
            <w:tcW w:w="123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63D8" w:rsidRDefault="00C563D8">
            <w:pPr>
              <w:rPr>
                <w:b/>
                <w:bCs/>
                <w:sz w:val="28"/>
                <w:szCs w:val="28"/>
              </w:rPr>
            </w:pPr>
            <w:r>
              <w:rPr>
                <w:b/>
                <w:bCs/>
                <w:sz w:val="28"/>
                <w:szCs w:val="28"/>
              </w:rPr>
              <w:lastRenderedPageBreak/>
              <w:t>Contacting MMG Century:</w:t>
            </w:r>
          </w:p>
          <w:p w:rsidR="00C563D8" w:rsidRDefault="00C563D8">
            <w:pPr>
              <w:rPr>
                <w:b/>
                <w:bCs/>
                <w:sz w:val="28"/>
                <w:szCs w:val="28"/>
              </w:rPr>
            </w:pPr>
          </w:p>
          <w:p w:rsidR="00C563D8" w:rsidRDefault="00C563D8">
            <w:r>
              <w:t>The only postal address for all correspondence for MMG Century will now be:</w:t>
            </w:r>
          </w:p>
          <w:p w:rsidR="00C563D8" w:rsidRDefault="00C563D8">
            <w:pPr>
              <w:rPr>
                <w:b/>
                <w:bCs/>
                <w:i/>
                <w:iCs/>
                <w:color w:val="1F497D"/>
              </w:rPr>
            </w:pPr>
          </w:p>
          <w:p w:rsidR="00C563D8" w:rsidRDefault="00C563D8">
            <w:r>
              <w:t xml:space="preserve">MMG Century </w:t>
            </w:r>
          </w:p>
          <w:p w:rsidR="00C563D8" w:rsidRDefault="00C563D8">
            <w:r>
              <w:t>Site Senior Executive</w:t>
            </w:r>
          </w:p>
          <w:p w:rsidR="00C563D8" w:rsidRDefault="00C563D8">
            <w:pPr>
              <w:spacing w:after="240"/>
            </w:pPr>
            <w:r>
              <w:t xml:space="preserve">GPO Box 2982 </w:t>
            </w:r>
            <w:r>
              <w:br/>
              <w:t xml:space="preserve">Melbourne Victoria 3001 </w:t>
            </w:r>
          </w:p>
          <w:p w:rsidR="00C563D8" w:rsidRDefault="00C563D8">
            <w:r>
              <w:t>T (03) 9288 0888 (please indicate if your call is about Century)</w:t>
            </w:r>
          </w:p>
          <w:p w:rsidR="00C563D8" w:rsidRDefault="00C563D8"/>
          <w:p w:rsidR="00C563D8" w:rsidRDefault="00C563D8">
            <w:r>
              <w:t xml:space="preserve">The community contact email and </w:t>
            </w:r>
            <w:proofErr w:type="spellStart"/>
            <w:r>
              <w:t>Freecall</w:t>
            </w:r>
            <w:proofErr w:type="spellEnd"/>
            <w:r>
              <w:t xml:space="preserve"> number will remain in place during Care and Maintenance, administered by MMG’s Stakeholder Relations team.</w:t>
            </w:r>
          </w:p>
          <w:p w:rsidR="00C563D8" w:rsidRDefault="00C563D8">
            <w:pPr>
              <w:rPr>
                <w:color w:val="1F497D"/>
              </w:rPr>
            </w:pPr>
            <w:r>
              <w:t>E:                 </w:t>
            </w:r>
            <w:hyperlink r:id="rId27" w:history="1">
              <w:r>
                <w:rPr>
                  <w:rStyle w:val="Hyperlink"/>
                </w:rPr>
                <w:t>centurycsp@mmg.com</w:t>
              </w:r>
            </w:hyperlink>
            <w:r>
              <w:t xml:space="preserve"> </w:t>
            </w:r>
          </w:p>
          <w:p w:rsidR="00C563D8" w:rsidRDefault="00C563D8">
            <w:pPr>
              <w:rPr>
                <w:color w:val="1F497D"/>
              </w:rPr>
            </w:pPr>
            <w:r>
              <w:t>Free-cal</w:t>
            </w:r>
            <w:r>
              <w:rPr>
                <w:color w:val="1F497D"/>
              </w:rPr>
              <w:t>l:</w:t>
            </w:r>
            <w:r>
              <w:t xml:space="preserve"> </w:t>
            </w:r>
            <w:r>
              <w:rPr>
                <w:color w:val="1F497D"/>
              </w:rPr>
              <w:t>  </w:t>
            </w:r>
            <w:r>
              <w:t>1800 098 721</w:t>
            </w:r>
          </w:p>
          <w:p w:rsidR="00C563D8" w:rsidRDefault="00C563D8">
            <w:pPr>
              <w:rPr>
                <w:b/>
                <w:bCs/>
                <w:i/>
                <w:iCs/>
                <w:color w:val="1F497D"/>
              </w:rPr>
            </w:pPr>
          </w:p>
          <w:p w:rsidR="00C563D8" w:rsidRDefault="00C563D8">
            <w:r>
              <w:t>Please note, this number is managed by a message service, with all messages forwarded to Century’s Stakeholder Relations team for a response.</w:t>
            </w:r>
          </w:p>
          <w:p w:rsidR="00C563D8" w:rsidRDefault="00C563D8"/>
          <w:p w:rsidR="00C563D8" w:rsidRDefault="00C563D8">
            <w:r>
              <w:t xml:space="preserve">For more information about MMG Century, visit our </w:t>
            </w:r>
            <w:hyperlink r:id="rId28" w:history="1">
              <w:r>
                <w:rPr>
                  <w:rStyle w:val="Hyperlink"/>
                </w:rPr>
                <w:t>webpage</w:t>
              </w:r>
            </w:hyperlink>
            <w:r>
              <w:t xml:space="preserve">. </w:t>
            </w:r>
          </w:p>
          <w:p w:rsidR="00C563D8" w:rsidRDefault="00C563D8">
            <w:pPr>
              <w:rPr>
                <w:b/>
                <w:bCs/>
                <w:color w:val="1F497D"/>
              </w:rPr>
            </w:pPr>
          </w:p>
        </w:tc>
        <w:tc>
          <w:tcPr>
            <w:tcW w:w="5406" w:type="dxa"/>
            <w:tcBorders>
              <w:top w:val="nil"/>
              <w:left w:val="nil"/>
              <w:bottom w:val="single" w:sz="8" w:space="0" w:color="auto"/>
              <w:right w:val="single" w:sz="8" w:space="0" w:color="auto"/>
            </w:tcBorders>
            <w:tcMar>
              <w:top w:w="0" w:type="dxa"/>
              <w:left w:w="108" w:type="dxa"/>
              <w:bottom w:w="0" w:type="dxa"/>
              <w:right w:w="108" w:type="dxa"/>
            </w:tcMar>
            <w:hideMark/>
          </w:tcPr>
          <w:p w:rsidR="00C563D8" w:rsidRDefault="00C563D8">
            <w:pPr>
              <w:rPr>
                <w:b/>
                <w:bCs/>
              </w:rPr>
            </w:pPr>
            <w:r>
              <w:rPr>
                <w:b/>
                <w:bCs/>
                <w:noProof/>
                <w:lang w:eastAsia="en-AU"/>
              </w:rPr>
              <w:drawing>
                <wp:inline distT="0" distB="0" distL="0" distR="0">
                  <wp:extent cx="1200150" cy="1200150"/>
                  <wp:effectExtent l="0" t="0" r="0" b="0"/>
                  <wp:docPr id="1" name="Picture 1" descr="cid:image030.png@01D17AD8.7E5F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30.png@01D17AD8.7E5FFEC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r>
    </w:tbl>
    <w:p w:rsidR="00C563D8" w:rsidRDefault="00C563D8" w:rsidP="00C563D8">
      <w:pPr>
        <w:rPr>
          <w:b/>
          <w:bCs/>
        </w:rPr>
      </w:pPr>
    </w:p>
    <w:p w:rsidR="00F728B0" w:rsidRDefault="00F728B0"/>
    <w:sectPr w:rsidR="00F728B0" w:rsidSect="00C563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D8"/>
    <w:rsid w:val="00C563D8"/>
    <w:rsid w:val="00F72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69D28-965C-49EE-997F-E38E932B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1899C.6A0C0090" TargetMode="External"/><Relationship Id="rId13" Type="http://schemas.openxmlformats.org/officeDocument/2006/relationships/image" Target="media/image5.jpeg"/><Relationship Id="rId18" Type="http://schemas.openxmlformats.org/officeDocument/2006/relationships/image" Target="cid:image008.jpg@01D1899C.6A0C0090" TargetMode="External"/><Relationship Id="rId26" Type="http://schemas.openxmlformats.org/officeDocument/2006/relationships/image" Target="cid:image011.jpg@01D1899C.6A0C0090"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cid:image005.jpg@01D1899C.6A0C0090" TargetMode="External"/><Relationship Id="rId17" Type="http://schemas.openxmlformats.org/officeDocument/2006/relationships/image" Target="media/image7.jpeg"/><Relationship Id="rId25"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cid:image007.jpg@01D1899C.6A0C0090" TargetMode="External"/><Relationship Id="rId20" Type="http://schemas.openxmlformats.org/officeDocument/2006/relationships/image" Target="cid:image009.jpg@01D1899C.6A0C0090" TargetMode="External"/><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mailto:ce_request_century@mmg.com" TargetMode="External"/><Relationship Id="rId11" Type="http://schemas.openxmlformats.org/officeDocument/2006/relationships/image" Target="media/image4.jpeg"/><Relationship Id="rId24" Type="http://schemas.openxmlformats.org/officeDocument/2006/relationships/hyperlink" Target="http://mmg.com/en/Careers.aspx" TargetMode="External"/><Relationship Id="rId32" Type="http://schemas.openxmlformats.org/officeDocument/2006/relationships/theme" Target="theme/theme1.xml"/><Relationship Id="rId5" Type="http://schemas.openxmlformats.org/officeDocument/2006/relationships/image" Target="cid:image002.jpg@01D1899C.6A0C0090" TargetMode="External"/><Relationship Id="rId15" Type="http://schemas.openxmlformats.org/officeDocument/2006/relationships/image" Target="media/image6.jpeg"/><Relationship Id="rId23" Type="http://schemas.openxmlformats.org/officeDocument/2006/relationships/hyperlink" Target="http://mmg.com/en/Our-Operations/Development-projects/Dugald-River.aspx" TargetMode="External"/><Relationship Id="rId28" Type="http://schemas.openxmlformats.org/officeDocument/2006/relationships/hyperlink" Target="http://mmg.com/en/Our-Operations/Mining-operations/Century.aspx" TargetMode="External"/><Relationship Id="rId10" Type="http://schemas.openxmlformats.org/officeDocument/2006/relationships/image" Target="cid:image004.jpg@01D1899C.6A0C0090"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cid:image006.jpg@01D1899C.6A0C0090" TargetMode="External"/><Relationship Id="rId22" Type="http://schemas.openxmlformats.org/officeDocument/2006/relationships/image" Target="cid:image010.jpg@01D1899C.6A0C0090" TargetMode="External"/><Relationship Id="rId27" Type="http://schemas.openxmlformats.org/officeDocument/2006/relationships/hyperlink" Target="mailto:centurycsp@mmg.com" TargetMode="External"/><Relationship Id="rId30" Type="http://schemas.openxmlformats.org/officeDocument/2006/relationships/image" Target="cid:image012.png@01D1899C.6A0C0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2016-03-30T06:39:00Z</dcterms:created>
  <dcterms:modified xsi:type="dcterms:W3CDTF">2016-03-30T06:39:00Z</dcterms:modified>
</cp:coreProperties>
</file>